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w:t>
      </w:r>
      <w:r w:rsidDel="00000000" w:rsidR="00000000" w:rsidRPr="00000000">
        <w:rPr>
          <w:rFonts w:ascii="Times New Roman" w:cs="Times New Roman" w:eastAsia="Times New Roman" w:hAnsi="Times New Roman"/>
          <w:b w:val="1"/>
          <w:sz w:val="24"/>
          <w:szCs w:val="24"/>
          <w:rtl w:val="0"/>
        </w:rPr>
        <w:t xml:space="preserve">CONGRESO INTERNACIONAL </w:t>
      </w:r>
    </w:p>
    <w:p w:rsidR="00000000" w:rsidDel="00000000" w:rsidP="00000000" w:rsidRDefault="00000000" w:rsidRPr="00000000" w14:paraId="00000003">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 DIDÁCTICA DE LA MATEMÁTICA </w:t>
      </w:r>
    </w:p>
    <w:p w:rsidR="00000000" w:rsidDel="00000000" w:rsidP="00000000" w:rsidRDefault="00000000" w:rsidRPr="00000000" w14:paraId="00000004">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 Ejes Temáticos y Plantilla de Propuestas</w:t>
      </w:r>
    </w:p>
    <w:p w:rsidR="00000000" w:rsidDel="00000000" w:rsidP="00000000" w:rsidRDefault="00000000" w:rsidRPr="00000000" w14:paraId="00000006">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w:t>
      </w:r>
    </w:p>
    <w:p w:rsidR="00000000" w:rsidDel="00000000" w:rsidP="00000000" w:rsidRDefault="00000000" w:rsidRPr="00000000" w14:paraId="0000000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Fomentar el intercambio de experiencias y estrategias pedagógicas innovadoras entre docentes, estudiantes e investigadores con el propósito de enriquecer el proceso de enseñanza y aprendizaje de las matemáticas.</w:t>
      </w:r>
    </w:p>
    <w:p w:rsidR="00000000" w:rsidDel="00000000" w:rsidP="00000000" w:rsidRDefault="00000000" w:rsidRPr="00000000" w14:paraId="00000009">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EJES TEMÁTICOS:</w:t>
      </w:r>
    </w:p>
    <w:p w:rsidR="00000000" w:rsidDel="00000000" w:rsidP="00000000" w:rsidRDefault="00000000" w:rsidRPr="00000000" w14:paraId="0000000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Pensamiento numérico</w:t>
      </w:r>
    </w:p>
    <w:p w:rsidR="00000000" w:rsidDel="00000000" w:rsidP="00000000" w:rsidRDefault="00000000" w:rsidRPr="00000000" w14:paraId="0000000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Pensamiento algebraico</w:t>
      </w:r>
    </w:p>
    <w:p w:rsidR="00000000" w:rsidDel="00000000" w:rsidP="00000000" w:rsidRDefault="00000000" w:rsidRPr="00000000" w14:paraId="0000000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Pensamiento geométrico</w:t>
      </w:r>
    </w:p>
    <w:p w:rsidR="00000000" w:rsidDel="00000000" w:rsidP="00000000" w:rsidRDefault="00000000" w:rsidRPr="00000000" w14:paraId="0000000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Gráficas y funciones</w:t>
      </w:r>
    </w:p>
    <w:p w:rsidR="00000000" w:rsidDel="00000000" w:rsidP="00000000" w:rsidRDefault="00000000" w:rsidRPr="00000000" w14:paraId="0000000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Pensamiento matemático avanzado</w:t>
      </w:r>
    </w:p>
    <w:p w:rsidR="00000000" w:rsidDel="00000000" w:rsidP="00000000" w:rsidRDefault="00000000" w:rsidRPr="00000000" w14:paraId="0000001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Tecnología en la enseñanza de las matemáticas</w:t>
      </w:r>
    </w:p>
    <w:p w:rsidR="00000000" w:rsidDel="00000000" w:rsidP="00000000" w:rsidRDefault="00000000" w:rsidRPr="00000000" w14:paraId="0000001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Educación matemática inclusiva y diversidad</w:t>
      </w:r>
    </w:p>
    <w:p w:rsidR="00000000" w:rsidDel="00000000" w:rsidP="00000000" w:rsidRDefault="00000000" w:rsidRPr="00000000" w14:paraId="00000012">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Pensamiento numérico:</w:t>
      </w:r>
      <w:r w:rsidDel="00000000" w:rsidR="00000000" w:rsidRPr="00000000">
        <w:rPr>
          <w:rFonts w:ascii="Times New Roman" w:cs="Times New Roman" w:eastAsia="Times New Roman" w:hAnsi="Times New Roman"/>
          <w:sz w:val="24"/>
          <w:szCs w:val="24"/>
          <w:rtl w:val="0"/>
        </w:rPr>
        <w:t xml:space="preserve"> se centra en el estudio y manejo de los números reales, especialmente para el aprendizaje de las operaciones fundamentales y la aplicación de sus propiedades, a través de dispositivos didácticos que permiten un aprendizaje significativo. Así mismo, aborda los diferentes sistemas numéricos de diversas culturas que permiten matematizar los elementos naturales y sociales.</w:t>
      </w:r>
    </w:p>
    <w:p w:rsidR="00000000" w:rsidDel="00000000" w:rsidP="00000000" w:rsidRDefault="00000000" w:rsidRPr="00000000" w14:paraId="00000014">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Pensamiento algebraico:</w:t>
      </w:r>
      <w:r w:rsidDel="00000000" w:rsidR="00000000" w:rsidRPr="00000000">
        <w:rPr>
          <w:rFonts w:ascii="Times New Roman" w:cs="Times New Roman" w:eastAsia="Times New Roman" w:hAnsi="Times New Roman"/>
          <w:sz w:val="24"/>
          <w:szCs w:val="24"/>
          <w:rtl w:val="0"/>
        </w:rPr>
        <w:t xml:space="preserve"> se enfoca en desarrollar la capacidad de abstracción y relacionar aspectos geométricos con el lenguaje algebraico, que privilegia el estudio de las relaciones entre objetos matemáticos como: función, igualdad, desigualdad, productos notables y factorización, entre otros, con el uso de material tangible que permita una mejor apropiación.</w:t>
      </w:r>
    </w:p>
    <w:p w:rsidR="00000000" w:rsidDel="00000000" w:rsidP="00000000" w:rsidRDefault="00000000" w:rsidRPr="00000000" w14:paraId="00000016">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Pensamiento geométrico:</w:t>
      </w:r>
      <w:r w:rsidDel="00000000" w:rsidR="00000000" w:rsidRPr="00000000">
        <w:rPr>
          <w:rFonts w:ascii="Times New Roman" w:cs="Times New Roman" w:eastAsia="Times New Roman" w:hAnsi="Times New Roman"/>
          <w:sz w:val="24"/>
          <w:szCs w:val="24"/>
          <w:rtl w:val="0"/>
        </w:rPr>
        <w:t xml:space="preserve"> aborda el estudio de las relaciones espaciales, superficies, volúmenes y figuras planas que conlleva a la definición, comprensión y demostraciones de conceptos euclidianos no euclidianos. Así como de uso de tecnología que permiten facilitar el estudio de los cuerpos geométricos, transformaciones, medición de superficies, área, perímetro, simetría, semejanza y congruencia a través de una adecuada mediación pedagógica.</w:t>
      </w:r>
    </w:p>
    <w:p w:rsidR="00000000" w:rsidDel="00000000" w:rsidP="00000000" w:rsidRDefault="00000000" w:rsidRPr="00000000" w14:paraId="00000018">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Gráficas y funciones:</w:t>
      </w:r>
      <w:r w:rsidDel="00000000" w:rsidR="00000000" w:rsidRPr="00000000">
        <w:rPr>
          <w:rFonts w:ascii="Times New Roman" w:cs="Times New Roman" w:eastAsia="Times New Roman" w:hAnsi="Times New Roman"/>
          <w:sz w:val="24"/>
          <w:szCs w:val="24"/>
          <w:rtl w:val="0"/>
        </w:rPr>
        <w:t xml:space="preserve"> conlleva al estudio y manejo de las funciones y su representación gráfica, especialmente para estudiantes del nivel medio. Proporciona elementos básicos para la </w:t>
      </w:r>
    </w:p>
    <w:p w:rsidR="00000000" w:rsidDel="00000000" w:rsidP="00000000" w:rsidRDefault="00000000" w:rsidRPr="00000000" w14:paraId="0000001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graficación e interpretación de fenómenos naturales y matemáticos, con el uso de diversos enfoques para su abordaje didáctico en aula.</w:t>
      </w:r>
    </w:p>
    <w:p w:rsidR="00000000" w:rsidDel="00000000" w:rsidP="00000000" w:rsidRDefault="00000000" w:rsidRPr="00000000" w14:paraId="0000001B">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Pensamiento matemático avanzado:</w:t>
      </w:r>
      <w:r w:rsidDel="00000000" w:rsidR="00000000" w:rsidRPr="00000000">
        <w:rPr>
          <w:rFonts w:ascii="Times New Roman" w:cs="Times New Roman" w:eastAsia="Times New Roman" w:hAnsi="Times New Roman"/>
          <w:sz w:val="24"/>
          <w:szCs w:val="24"/>
          <w:rtl w:val="0"/>
        </w:rPr>
        <w:t xml:space="preserve"> se refiere al abordaje del pensamiento variacional, al uso de definiciones en el razonamiento formal axiomático y algunas demostraciones que evidencia la riqueza de las matemáticas, fundamentalmente para la introducción de la noción de conceptos de cálculo diferencial e integral, así como el superior en las carreras universitarias.</w:t>
      </w:r>
    </w:p>
    <w:p w:rsidR="00000000" w:rsidDel="00000000" w:rsidP="00000000" w:rsidRDefault="00000000" w:rsidRPr="00000000" w14:paraId="0000001D">
      <w:pPr>
        <w:spacing w:after="0" w:line="276" w:lineRule="auto"/>
        <w:jc w:val="both"/>
        <w:rPr/>
      </w:pPr>
      <w:r w:rsidDel="00000000" w:rsidR="00000000" w:rsidRPr="00000000">
        <w:rPr>
          <w:rFonts w:ascii="Times New Roman" w:cs="Times New Roman" w:eastAsia="Times New Roman" w:hAnsi="Times New Roman"/>
          <w:b w:val="1"/>
          <w:sz w:val="24"/>
          <w:szCs w:val="24"/>
          <w:rtl w:val="0"/>
        </w:rPr>
        <w:t xml:space="preserve">6. Tecnología en la enseñanza de las matemáticas</w:t>
      </w:r>
      <w:r w:rsidDel="00000000" w:rsidR="00000000" w:rsidRPr="00000000">
        <w:rPr>
          <w:b w:val="1"/>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se centra en el uso de la tecnología como una herramienta para mejorar la enseñanza y el aprendizaje de las matemáticas. Incluye la exploración de diversas tecnologías, como software educativo, aplicaciones móviles, plataformas en línea y recursos interactivos.</w:t>
      </w:r>
      <w:r w:rsidDel="00000000" w:rsidR="00000000" w:rsidRPr="00000000">
        <w:rPr>
          <w:rtl w:val="0"/>
        </w:rPr>
      </w:r>
    </w:p>
    <w:p w:rsidR="00000000" w:rsidDel="00000000" w:rsidP="00000000" w:rsidRDefault="00000000" w:rsidRPr="00000000" w14:paraId="0000001E">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Educación matemática inclusiva y diversidad</w:t>
      </w:r>
      <w:r w:rsidDel="00000000" w:rsidR="00000000" w:rsidRPr="00000000">
        <w:rPr>
          <w:b w:val="1"/>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se enfoca en promover prácticas inclusivas y diversidad en la enseñanza de las matemáticas. Se abordarán temas relacionados con la adaptación de la instrucción para satisfacer las necesidades de una amplia gama de estudiantes, incluidos aquellos con discapacidades y diversas habilidades matemáticas.</w:t>
      </w:r>
    </w:p>
    <w:p w:rsidR="00000000" w:rsidDel="00000000" w:rsidP="00000000" w:rsidRDefault="00000000" w:rsidRPr="00000000" w14:paraId="0000002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PLANTILLA:</w:t>
      </w:r>
    </w:p>
    <w:p w:rsidR="00000000" w:rsidDel="00000000" w:rsidP="00000000" w:rsidRDefault="00000000" w:rsidRPr="00000000" w14:paraId="0000002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Estimado participante, este documento sirve como guía para el formato y estilo que se debe emplear para realizar su propuesta. Estos criterios serán utilizados para la evaluación y aceptación de su taller o ponencia:</w:t>
      </w:r>
    </w:p>
    <w:p w:rsidR="00000000" w:rsidDel="00000000" w:rsidP="00000000" w:rsidRDefault="00000000" w:rsidRPr="00000000" w14:paraId="00000023">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Presentación</w:t>
      </w:r>
    </w:p>
    <w:p w:rsidR="00000000" w:rsidDel="00000000" w:rsidP="00000000" w:rsidRDefault="00000000" w:rsidRPr="00000000" w14:paraId="0000002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presentación de propuestas puede ser individual, por pareja o grupal. Pueden participar estudiantes, docentes, investigadores o persona interesada o comprometida con la enseñanza y el aprendizaje de la matemática. </w:t>
      </w:r>
    </w:p>
    <w:p w:rsidR="00000000" w:rsidDel="00000000" w:rsidP="00000000" w:rsidRDefault="00000000" w:rsidRPr="00000000" w14:paraId="0000002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propuesta se debe incluir los datos de los autores y el nombre del expositor subrayado.</w:t>
      </w:r>
    </w:p>
    <w:p w:rsidR="00000000" w:rsidDel="00000000" w:rsidP="00000000" w:rsidRDefault="00000000" w:rsidRPr="00000000" w14:paraId="00000027">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Contenido de la propuesta de taller </w:t>
      </w:r>
    </w:p>
    <w:p w:rsidR="00000000" w:rsidDel="00000000" w:rsidP="00000000" w:rsidRDefault="00000000" w:rsidRPr="00000000" w14:paraId="0000002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elaborar la propuesta considere abordar brevemente los siguientes puntos: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 temático que corresponde el taller: Los autores escogen alguno de los ejes publicados en la página anterior ubica a su taller.</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Título del taller. - Breve (treinta palabras como máximo) y alusivo a la temática del taller.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Resumen ejecutivo. - El resumen debe cumplir con las siguientes características: </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párrafo con un máximo de 100 palabras. </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deben incluirse notas al pie de página ni referencias bibliográficas.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Introducción. - Describir la relevancia y la pertinencia del taller.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Propósito y alcance. - Indicar el propósito del taller (o de las situaciones didácticas a presentar) y sus alcances; esto es, profundizar en la trascendencia de la propuesta. También se debe indicar a qué población está dirigido el taller (nivel de estudios, nivel educativo, materia que enseña, otros que consideren necesarios y relevantes para la evaluación de la propuesta).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Método. - Proporcionar información sobre el tipo de estrategias de enseñanza que se seguirán en la implementación de las situaciones didácticas o su puesta en escena en un aula, así como el papel que llevará a cabo cada uno de los participantes.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Diseños didácticos. - Describir y ejemplificar algunos de los diseños que se trabajarán en el taller. Se requiere explicitar los aportes de la propuesta y en el caso de que haya sido experimentada, mencionar los resultados obtenidos o las reflexiones derivadas de su implementación. </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Referencias. - Utilizar el formato APA sexta edición, tanto al citar las referencias en el contexto del escrito como en el listado final, que debe incluir todas las fuentes citadas en el cuerpo del documento. </w:t>
      </w:r>
    </w:p>
    <w:p w:rsidR="00000000" w:rsidDel="00000000" w:rsidP="00000000" w:rsidRDefault="00000000" w:rsidRPr="00000000" w14:paraId="00000034">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Formato del documento</w:t>
      </w:r>
    </w:p>
    <w:p w:rsidR="00000000" w:rsidDel="00000000" w:rsidP="00000000" w:rsidRDefault="00000000" w:rsidRPr="00000000" w14:paraId="0000003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propuesta se enviará en un documento de Word (.doc o .docx) con las siguientes características: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 del documento: Se requiere que el nombre del archivo de su propuesta contenga lo siguiente:</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Inicia con la letra mayúscula.</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Guion medio después del nombre del tema y la palabra ‘Evaluar’.</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primeras tres (3) palabras del título, no utilizar artículos ni preposiciones.</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Si el título del trabajo es: “Los significados de la probabilidad en la educación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secundaria”, el nombre del archivo a enviar será: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SignificadosProbabilidadEducación-Evaluar.docx</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Márgenes superior e inferior de 2,5 cm cada uno.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Márgenes derecho e izquierdo de 3 cm cada uno.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Usar la fuente Arial de 12 puntos en todo el documento (incluyendo el título, los resúmenes y las referencias bibliográficas); utilizar negrilla para resaltar cada contenido.</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Usar interlineado sencillo (1.0).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extensión máxima del resumen para evaluar es de 2 páginas tamaño carta, incluyendo figuras, tablas y referencias. </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deben incluirse notas al pie de página.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Materiales: en la página número 3, después de su resumen, redacte el listado de materiales que los participantes utilizaran en su taller.</w:t>
      </w:r>
    </w:p>
    <w:p w:rsidR="00000000" w:rsidDel="00000000" w:rsidP="00000000" w:rsidRDefault="00000000" w:rsidRPr="00000000" w14:paraId="00000045">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Plazo para la recepción de propuestas: </w:t>
      </w:r>
    </w:p>
    <w:p w:rsidR="00000000" w:rsidDel="00000000" w:rsidP="00000000" w:rsidRDefault="00000000" w:rsidRPr="00000000" w14:paraId="0000004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fecha límite de recepción de propuestas será el 30 de marzo de 2024. </w:t>
      </w:r>
    </w:p>
    <w:p w:rsidR="00000000" w:rsidDel="00000000" w:rsidP="00000000" w:rsidRDefault="00000000" w:rsidRPr="00000000" w14:paraId="0000004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link: </w:t>
      </w:r>
      <w:hyperlink r:id="rId7">
        <w:r w:rsidDel="00000000" w:rsidR="00000000" w:rsidRPr="00000000">
          <w:rPr>
            <w:rFonts w:ascii="Times New Roman" w:cs="Times New Roman" w:eastAsia="Times New Roman" w:hAnsi="Times New Roman"/>
            <w:color w:val="1155cc"/>
            <w:sz w:val="24"/>
            <w:szCs w:val="24"/>
            <w:u w:val="single"/>
            <w:rtl w:val="0"/>
          </w:rPr>
          <w:t xml:space="preserve">https://forms.gle/ybZnhdxgt6Ccz4nVA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Cualquier duda comunicarse al correo: </w:t>
      </w:r>
      <w:hyperlink r:id="rId8">
        <w:r w:rsidDel="00000000" w:rsidR="00000000" w:rsidRPr="00000000">
          <w:rPr>
            <w:rFonts w:ascii="Times New Roman" w:cs="Times New Roman" w:eastAsia="Times New Roman" w:hAnsi="Times New Roman"/>
            <w:color w:val="0563c1"/>
            <w:sz w:val="24"/>
            <w:szCs w:val="24"/>
            <w:u w:val="single"/>
            <w:rtl w:val="0"/>
          </w:rPr>
          <w:t xml:space="preserve">recepciontrabajo7congresomate@gmail.com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Miguel Angel Cordero Monzón</w:t>
      </w:r>
    </w:p>
    <w:p w:rsidR="00000000" w:rsidDel="00000000" w:rsidP="00000000" w:rsidRDefault="00000000" w:rsidRPr="00000000" w14:paraId="0000004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Fredy Giovani de León </w:t>
      </w:r>
    </w:p>
    <w:p w:rsidR="00000000" w:rsidDel="00000000" w:rsidP="00000000" w:rsidRDefault="00000000" w:rsidRPr="00000000" w14:paraId="0000004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Hámilton Eleazar Castro Vásquez</w:t>
      </w:r>
    </w:p>
    <w:sectPr>
      <w:headerReference r:id="rId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5181600</wp:posOffset>
          </wp:positionH>
          <wp:positionV relativeFrom="paragraph">
            <wp:posOffset>-297179</wp:posOffset>
          </wp:positionV>
          <wp:extent cx="759143" cy="759143"/>
          <wp:effectExtent b="0" l="0" r="0" t="0"/>
          <wp:wrapNone/>
          <wp:docPr id="60809166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9143" cy="75914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-95249</wp:posOffset>
          </wp:positionH>
          <wp:positionV relativeFrom="paragraph">
            <wp:posOffset>-211454</wp:posOffset>
          </wp:positionV>
          <wp:extent cx="1585913" cy="672125"/>
          <wp:effectExtent b="0" l="0" r="0" t="0"/>
          <wp:wrapNone/>
          <wp:docPr id="60809166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85913" cy="672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G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C4751B"/>
    <w:pPr>
      <w:ind w:left="720"/>
      <w:contextualSpacing w:val="1"/>
    </w:pPr>
  </w:style>
  <w:style w:type="character" w:styleId="Hipervnculo">
    <w:name w:val="Hyperlink"/>
    <w:basedOn w:val="Fuentedeprrafopredeter"/>
    <w:uiPriority w:val="99"/>
    <w:unhideWhenUsed w:val="1"/>
    <w:rsid w:val="00E4569A"/>
    <w:rPr>
      <w:color w:val="0563c1" w:themeColor="hyperlink"/>
      <w:u w:val="single"/>
    </w:rPr>
  </w:style>
  <w:style w:type="character" w:styleId="Mencinsinresolver">
    <w:name w:val="Unresolved Mention"/>
    <w:basedOn w:val="Fuentedeprrafopredeter"/>
    <w:uiPriority w:val="99"/>
    <w:semiHidden w:val="1"/>
    <w:unhideWhenUsed w:val="1"/>
    <w:rsid w:val="00E4569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ybZnhdxgt6Ccz4nVA" TargetMode="External"/><Relationship Id="rId8" Type="http://schemas.openxmlformats.org/officeDocument/2006/relationships/hyperlink" Target="mailto:recepciontrabajo7congresomat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K9oCvXSrCCjbaXRth6Jj8a2Ehg==">CgMxLjA4AHIhMUV2ZDdxbDJkT0tTQmEzMHMxXzRfTE45QUVybmlGTHpK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2023-10-29T20:24:00Z</dcterms:created>
  <dc:creator>Miguel Cordero</dc:creator>
</cp:coreProperties>
</file>